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D" w:rsidRDefault="00C5385D" w:rsidP="003E676F">
      <w:pPr>
        <w:shd w:val="clear" w:color="auto" w:fill="FFFFFF" w:themeFill="background1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Принят</w:t>
      </w:r>
      <w:r w:rsidR="00551935"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на СП</w:t>
      </w:r>
      <w:proofErr w:type="gramStart"/>
      <w:r w:rsidR="00551935"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E6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тверждаю</w:t>
      </w:r>
      <w:r w:rsidR="00551935"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874CE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</w:t>
      </w:r>
      <w:r w:rsidR="00551935"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</w:t>
      </w:r>
    </w:p>
    <w:p w:rsidR="003E676F" w:rsidRDefault="00C5385D" w:rsidP="003E676F">
      <w:pPr>
        <w:shd w:val="clear" w:color="auto" w:fill="FFFFFF" w:themeFill="background1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Протокол №_____</w:t>
      </w:r>
      <w:r w:rsidR="00551935"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</w:t>
      </w:r>
      <w:r w:rsidR="003E6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и.о</w:t>
      </w:r>
      <w:proofErr w:type="gramStart"/>
      <w:r w:rsidR="003E6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.з</w:t>
      </w:r>
      <w:proofErr w:type="gramEnd"/>
      <w:r w:rsidR="003E6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аведующей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МБДОУ №3                                                                                           </w:t>
      </w:r>
    </w:p>
    <w:p w:rsidR="00551935" w:rsidRDefault="00551935" w:rsidP="003E676F">
      <w:pPr>
        <w:shd w:val="clear" w:color="auto" w:fill="FFFFFF" w:themeFill="background1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  <w:r w:rsidR="00C538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от «____»________2017г</w:t>
      </w:r>
      <w:r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</w:t>
      </w:r>
      <w:r w:rsidR="00C538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</w:t>
      </w:r>
      <w:r w:rsidR="00AE198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</w:t>
      </w:r>
      <w:r w:rsidR="003E676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</w:t>
      </w:r>
      <w:r w:rsidR="00AE198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от «____»__________2017 г</w:t>
      </w:r>
      <w:r w:rsidR="00C538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</w:t>
      </w:r>
      <w:r w:rsidR="00AE198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</w:t>
      </w:r>
      <w:r w:rsidR="00874CE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</w:t>
      </w:r>
      <w:r w:rsidR="00C538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</w:t>
      </w:r>
      <w:r w:rsidR="00874CE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</w:t>
      </w:r>
    </w:p>
    <w:p w:rsidR="00C5385D" w:rsidRPr="00551935" w:rsidRDefault="00C5385D" w:rsidP="00C23280">
      <w:pPr>
        <w:shd w:val="clear" w:color="auto" w:fill="FFFFFF" w:themeFill="background1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</w:t>
      </w:r>
      <w:r w:rsidR="00AE198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51935" w:rsidRPr="00551935" w:rsidRDefault="00551935" w:rsidP="00551935">
      <w:pPr>
        <w:shd w:val="clear" w:color="auto" w:fill="FFFFFF" w:themeFill="background1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</w:t>
      </w:r>
      <w:r w:rsidR="00C538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</w:t>
      </w:r>
    </w:p>
    <w:p w:rsidR="008F396D" w:rsidRPr="00551935" w:rsidRDefault="008F396D" w:rsidP="00551935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51935" w:rsidRPr="00551935" w:rsidRDefault="00551935" w:rsidP="00551935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396D" w:rsidRPr="00184B65" w:rsidRDefault="008F396D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184B6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Учебный план</w:t>
      </w:r>
    </w:p>
    <w:p w:rsidR="00551935" w:rsidRPr="00551935" w:rsidRDefault="00551935" w:rsidP="00551935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198E" w:rsidRDefault="00380C56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МБДОУ №3 « Яблочко»</w:t>
      </w:r>
    </w:p>
    <w:p w:rsidR="005D1A36" w:rsidRPr="00551935" w:rsidRDefault="00C5385D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 основе примерной </w:t>
      </w:r>
      <w:r w:rsidR="005D1A36"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общеобразовательной программе дошкольного образования</w:t>
      </w:r>
    </w:p>
    <w:p w:rsidR="005D1A36" w:rsidRPr="00551935" w:rsidRDefault="005D1A36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«От рождения до школы»</w:t>
      </w:r>
    </w:p>
    <w:p w:rsidR="005D1A36" w:rsidRPr="00551935" w:rsidRDefault="005D1A36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 редакцией Н.Е. </w:t>
      </w:r>
      <w:proofErr w:type="spellStart"/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Вераксы</w:t>
      </w:r>
      <w:proofErr w:type="spellEnd"/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Т.С. Комаровой, М.А. Васильевой</w:t>
      </w:r>
    </w:p>
    <w:p w:rsidR="00C23280" w:rsidRDefault="005D1A36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2017-2018 учебный </w:t>
      </w:r>
      <w:r w:rsidR="00551935" w:rsidRPr="005519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51935" w:rsidRPr="00C23280" w:rsidRDefault="00551935" w:rsidP="00C23280">
      <w:pPr>
        <w:shd w:val="clear" w:color="auto" w:fill="FFFFFF" w:themeFill="background1"/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19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п. Тульский</w:t>
      </w:r>
    </w:p>
    <w:p w:rsidR="00C23280" w:rsidRDefault="00551935" w:rsidP="00551935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                                    </w:t>
      </w:r>
    </w:p>
    <w:p w:rsidR="008F396D" w:rsidRPr="00551935" w:rsidRDefault="00551935" w:rsidP="00551935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255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380C56"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="008F396D" w:rsidRPr="00551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Учебный план Муниципального бюджетного дошкольного образовательного учреж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дения «Яблочко» №3</w:t>
      </w:r>
      <w:r w:rsidR="005D1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2017-2018 учебный год 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л</w:t>
      </w:r>
      <w:r w:rsidR="00925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окальным нормативным актом ДОУ,</w:t>
      </w:r>
      <w:r w:rsidR="008358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устанавливающим перечень образовательных областей и объем учебного времени, отводимого на проведение непосредственной  образовательной деятельности</w:t>
      </w:r>
      <w:r w:rsidR="00081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58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(НОД) в учебном году.</w:t>
      </w:r>
    </w:p>
    <w:p w:rsidR="008F396D" w:rsidRPr="008F396D" w:rsidRDefault="008358C4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Учебный план является составной частью образовательной программы ДОУ.</w:t>
      </w:r>
    </w:p>
    <w:p w:rsidR="008F396D" w:rsidRPr="008F396D" w:rsidRDefault="008358C4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Учебный план разработан в соответствии с нормативными документами:</w:t>
      </w:r>
    </w:p>
    <w:p w:rsidR="008F396D" w:rsidRPr="008F396D" w:rsidRDefault="008F396D" w:rsidP="005519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</w:t>
      </w:r>
      <w:r w:rsidR="008358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29.12.2012 г. № 273-ФЗ «Об образовании в Российской Федерации» (ред. от 21.07.2014 г.)</w:t>
      </w:r>
    </w:p>
    <w:p w:rsidR="008F396D" w:rsidRPr="008F396D" w:rsidRDefault="008F396D" w:rsidP="005519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 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программах — образовательным программам дошкольного образования»</w:t>
      </w:r>
    </w:p>
    <w:p w:rsidR="008F396D" w:rsidRPr="008F396D" w:rsidRDefault="008F396D" w:rsidP="005519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F396D" w:rsidRPr="008F396D" w:rsidRDefault="008F396D" w:rsidP="005519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 Министерства образования и науки Российской Федерации от 17.10.2013 г. № 1155 «Об утверждении федерального государственного стандарта дошкольного образования»</w:t>
      </w:r>
    </w:p>
    <w:p w:rsidR="008F396D" w:rsidRPr="008F396D" w:rsidRDefault="008F396D" w:rsidP="0055193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84" w:lineRule="atLeast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Письмом Министерства образования и науки РФ от 28.02.2014 года № 08-249 «Комментарии к Федеральному государственному образовательному стандарту дошкольного образования»</w:t>
      </w:r>
    </w:p>
    <w:p w:rsidR="008F396D" w:rsidRPr="008F396D" w:rsidRDefault="008F396D" w:rsidP="0055193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Письмом Минобразования РФ от 14.03.2000 г.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8F396D" w:rsidRPr="008F396D" w:rsidRDefault="008F396D" w:rsidP="0055193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84" w:lineRule="atLeast"/>
        <w:ind w:left="54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Общая характеристика Учебного плана 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Учебный план соответствует Уставу и виду ДОУ.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Учебный план устанавливает перечень образовательных областей в соответствии с ФГОС </w:t>
      </w:r>
      <w:proofErr w:type="gram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</w:t>
      </w:r>
      <w:proofErr w:type="gram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развитие, речевое развитие, социально-коммуникативное развитие, художественно-эстетическое развитие, физическое развитие), учебных компонентов и определяет объем времени, отводимого на проведение организованной образовательной деятельности (в соответствии с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2.4.1.3049-13).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Учебный план представляет документ, учитывающий специфику дошкольного образования, – отсутствие предметного характера содержания образования на данной ступени, реализацию образовательных областей через детские виды деятельности. Учебный план обеспечивает целостность образовательного процесса, представляет собой сетки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Учитывается,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Содержание образовательного процесса определяется образовательной программой дошкольного образования, разработанной и утвержденной ДОУ на педагогическом совете в соответствии с ФГОС </w:t>
      </w:r>
      <w:proofErr w:type="gram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61EFA" w:rsidRDefault="00161EFA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 ДОУ работает по Примерной основной общеобразовательной программе дошкольног</w:t>
      </w:r>
      <w:r w:rsidR="00925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Т.С.Комаровой, М.А. 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  <w:r w:rsidR="000819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81961" w:rsidRPr="008F396D" w:rsidRDefault="00081961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структуре учебного плана выделяются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инвариативная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 менее 60%) и вариативная часть (не более 40%).</w:t>
      </w:r>
    </w:p>
    <w:p w:rsidR="008F396D" w:rsidRDefault="008F396D" w:rsidP="00551935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в группах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общеразвивающей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направленности:</w:t>
      </w:r>
    </w:p>
    <w:p w:rsidR="00F91CC5" w:rsidRPr="00925577" w:rsidRDefault="00925577" w:rsidP="00551935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2557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</w:t>
      </w:r>
      <w:r w:rsidR="00F91CC5" w:rsidRPr="00925577">
        <w:rPr>
          <w:rFonts w:ascii="Times New Roman" w:eastAsia="Times New Roman" w:hAnsi="Times New Roman" w:cs="Times New Roman"/>
          <w:color w:val="333333"/>
          <w:lang w:eastAsia="ru-RU"/>
        </w:rPr>
        <w:t>Вторая группа раннего возраста (дети от 2 до 3 лет) – 1 группа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Младшая группа (дети от 3 до 4 лет) – 1 группа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группа (дети от 4 до 5 лет) –2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</w:p>
    <w:p w:rsidR="008F396D" w:rsidRPr="008F396D" w:rsidRDefault="00925577" w:rsidP="00925577">
      <w:pPr>
        <w:shd w:val="clear" w:color="auto" w:fill="FFFFFF" w:themeFill="background1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Старшая группа (дети от 5 до 6 лет) – 2 группы</w:t>
      </w:r>
    </w:p>
    <w:p w:rsidR="008F396D" w:rsidRPr="008F396D" w:rsidRDefault="00925577" w:rsidP="00925577">
      <w:pPr>
        <w:shd w:val="clear" w:color="auto" w:fill="FFFFFF" w:themeFill="background1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Подготовительная группа (дети от 6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7 лет) – 1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функционируют в режиме полного рабочего дня (10,5 – часовое пребывание).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Учебный план предусматривает работу в режиме 5-дневной рабочей недели (кром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субботы и воскресенья), с 7.00 часов до 17.3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часов.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В соответствии с годовым календарным учебным графиком ДОУ продол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жительность учебного года в 2017-2018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устанавливается в количестве 36 недель. 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учебного года – 01.09.2017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года; окон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чание учебного года – 31.05.2018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середине учебного года для воспитанников организуются каник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улы. Начало </w:t>
      </w:r>
      <w:r w:rsidR="00C20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 – 29.12</w:t>
      </w:r>
      <w:r w:rsidR="00641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.2017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="00161E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окончание каникул –</w:t>
      </w:r>
      <w:r w:rsidR="00641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20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F91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.01.2018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 </w:t>
      </w:r>
      <w:r w:rsidR="00641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проведения каникул проводится  ООД  только художественно-эстетического и физкультурно-оздоровительного циклов.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Реализация Учебного плана предполагает комплексность подхода и обязательный учет принципа интеграции образовательных областей, обеспечивающий развитие детей одновременно в разных областях в соответствии с особенностями развития воспитанников, индивидуальными способностями и интересами детей.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Социально-коммуникативное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Содержание данной области реализуется в совместной игровой деятельности педагога с детьми, в общении, во всех образовательных ситуациях.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Познавательное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общем</w:t>
      </w:r>
      <w:proofErr w:type="gram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Речевое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Художественно-эстетическое 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 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двигательной сфере;</w:t>
      </w:r>
      <w:proofErr w:type="gram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46192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учебного плана обеспечивает развитие личности детей дошкольного возраста  в различных видах деятельности (общении, игре, познавательно-исследовательской деятельности), мотивации и способностей воспитанников с учетом их возрастных, индивидуальных психологических и физиологических особенностей.</w:t>
      </w:r>
    </w:p>
    <w:p w:rsidR="008F396D" w:rsidRDefault="00746192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составлении учебного плана учитывались следующие </w:t>
      </w:r>
      <w:r w:rsidRPr="007461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принципы:</w:t>
      </w:r>
    </w:p>
    <w:p w:rsidR="00746192" w:rsidRDefault="00746192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принцип развивающего образования, целью которого является </w:t>
      </w:r>
      <w:r w:rsidR="004B2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ребенка;</w:t>
      </w:r>
    </w:p>
    <w:p w:rsidR="004B2A25" w:rsidRDefault="004B2A25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единство воспитательных, развивающих и обучающих целей и задач процесса образования детей дошкольного возраста;</w:t>
      </w:r>
    </w:p>
    <w:p w:rsidR="004B2A25" w:rsidRDefault="004B2A25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НОД, но и при проведении режимных моментов в соответствии со спецификой дошкольного образования;</w:t>
      </w:r>
    </w:p>
    <w:p w:rsidR="00AF76AC" w:rsidRDefault="00925577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4B2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облюдение преемственности между всеми возрастными дошкольными группами и между ДОУ и начальной школой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023D" w:rsidRPr="00380C56" w:rsidRDefault="00C2023D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396D" w:rsidRPr="008F396D" w:rsidRDefault="008F396D" w:rsidP="0055193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Объем образовательной нагрузки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  Объем нагрузки НОД определен в соответствии с </w:t>
      </w:r>
      <w:proofErr w:type="spellStart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Продолжительность НОД:</w:t>
      </w:r>
    </w:p>
    <w:p w:rsidR="00925577" w:rsidRDefault="00925577" w:rsidP="00925577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</w:t>
      </w:r>
      <w:r w:rsidR="00404477" w:rsidRPr="00404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детей от 2 до 3 лет – не более 10 мин</w:t>
      </w:r>
    </w:p>
    <w:p w:rsidR="008F396D" w:rsidRPr="008F396D" w:rsidRDefault="00925577" w:rsidP="00925577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от 3 до 4 лет – не более 15 мин.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от 4 до 5 лет – не более 20 мин.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от 5 до 6 лет – не более 25 мин.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от 6 до 7 лет – не более 30 мин.</w:t>
      </w:r>
    </w:p>
    <w:p w:rsidR="00925577" w:rsidRDefault="008F396D" w:rsidP="00925577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Максимально допустимый объем образовательной нагрузки в первой половине дня составляет:</w:t>
      </w:r>
    </w:p>
    <w:p w:rsidR="00404477" w:rsidRPr="00925577" w:rsidRDefault="00925577" w:rsidP="00925577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в</w:t>
      </w:r>
      <w:r w:rsidR="00404477" w:rsidRPr="00404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второй группе раннего возраста – не превышает </w:t>
      </w:r>
      <w:r w:rsidR="00404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 минут</w:t>
      </w:r>
      <w:r w:rsidR="00404477" w:rsidRPr="00404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младшей группе – не превышает 30 минут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средней группе – не превышает 40 минут</w:t>
      </w:r>
    </w:p>
    <w:p w:rsidR="008F396D" w:rsidRPr="008F396D" w:rsidRDefault="00925577" w:rsidP="00925577">
      <w:pPr>
        <w:shd w:val="clear" w:color="auto" w:fill="FFFFFF" w:themeFill="background1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8F396D"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старшей группе – не превышает 45 минут</w:t>
      </w:r>
    </w:p>
    <w:p w:rsidR="008F396D" w:rsidRPr="008F396D" w:rsidRDefault="008F396D" w:rsidP="00925577">
      <w:pPr>
        <w:shd w:val="clear" w:color="auto" w:fill="FFFFFF" w:themeFill="background1"/>
        <w:spacing w:before="100" w:beforeAutospacing="1" w:after="100" w:afterAutospacing="1" w:line="384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подготовительной группе – не превышает 1,5 часа.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Образовательная деятельность осуществляется для детей раннего возраста в первую и во вторую половину дня (по 8-10 мин),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</w:t>
      </w:r>
    </w:p>
    <w:p w:rsidR="008F396D" w:rsidRP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3.3. В середине НОД  статического характера проводится физкультурная минутка. Перерывы между НОД составляют не менее 10 минут.</w:t>
      </w:r>
    </w:p>
    <w:p w:rsidR="00380C56" w:rsidRPr="006B1FE4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9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Образовательная деятельность, требующая повышенной познавательной активности и умственного напряжения детей, проводится  в первую половину дня и в дни наиболее высокой работоспособности (вторник и среда). Для профилактики утомления детей она </w:t>
      </w:r>
      <w:r w:rsidRPr="006B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сочетается с образовательной деятельностью, направленной на физическое и художественно-эстетическое развитие воспитанников.</w:t>
      </w:r>
    </w:p>
    <w:p w:rsidR="008F396D" w:rsidRDefault="008F396D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Занятия   по физическому развитию для детей от 3 до 7 лет организуются не менее 3 раза недел</w:t>
      </w:r>
      <w:r w:rsidR="00AF7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ю. Один раз в неделю для детей </w:t>
      </w:r>
      <w:r w:rsidRPr="006B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круглогодично организуются занятия по физическому развитию детей на открытом воздухе.  В теплое время года при благоприятных погодных условиях НОД по физическому развитию проводятся на свежем воздухе.</w:t>
      </w:r>
    </w:p>
    <w:p w:rsidR="00AF76AC" w:rsidRDefault="00AF76AC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организации занятий: от 2 до 3 лет (подгрупповые), от 3 до 7 лет (фронтальные).</w:t>
      </w:r>
    </w:p>
    <w:p w:rsidR="00AF76AC" w:rsidRDefault="00AF76AC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Дополнением к Примерной основной общеобразовательной программе дошкольного образования « 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Т.С.Комаровой, М.А. Васильевой является парциальная программа</w:t>
      </w:r>
      <w:r w:rsidR="00AF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Лыковой «Цветные ладошки»</w:t>
      </w:r>
      <w:r w:rsidR="00AF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конспекты комплексных занятий В.Н. </w:t>
      </w:r>
      <w:proofErr w:type="spellStart"/>
      <w:r w:rsidR="00AF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Волчковой</w:t>
      </w:r>
      <w:proofErr w:type="spellEnd"/>
      <w:r w:rsidR="00AF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Н.В. Степановой. (Комплексная программа «Детство»  под редакцией Т.Н. Бабаевой).</w:t>
      </w:r>
    </w:p>
    <w:p w:rsidR="00AF0DC0" w:rsidRDefault="00AF0DC0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летний период учебные занятия не проводятся. В это время увеличивается время прогулок, а также проводятся спортивные и подвижные игры, спортивные праздники, эстафеты</w:t>
      </w:r>
      <w:r w:rsidR="00C20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музыкальные праздники,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развлечения, предусмотренные летней оздоровительной кампанией.</w:t>
      </w:r>
    </w:p>
    <w:p w:rsidR="00AF0DC0" w:rsidRDefault="00AF0DC0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0DC0" w:rsidRDefault="00AF0DC0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76AC" w:rsidRDefault="00AF76AC" w:rsidP="00551935">
      <w:pPr>
        <w:shd w:val="clear" w:color="auto" w:fill="FFFFFF" w:themeFill="background1"/>
        <w:spacing w:after="225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76AC" w:rsidRPr="006B1FE4" w:rsidRDefault="00AF76AC" w:rsidP="00551935">
      <w:pPr>
        <w:shd w:val="clear" w:color="auto" w:fill="FFFFFF" w:themeFill="background1"/>
        <w:spacing w:after="225" w:line="38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0C56" w:rsidRPr="00C23280" w:rsidRDefault="008F396D" w:rsidP="00C23280">
      <w:pPr>
        <w:spacing w:after="225" w:line="384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B1F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C23280" w:rsidRPr="00595323" w:rsidRDefault="00C23280" w:rsidP="00C23280">
      <w:pPr>
        <w:pStyle w:val="Standard"/>
        <w:shd w:val="clear" w:color="auto" w:fill="FFFFFF"/>
        <w:spacing w:before="150" w:after="225" w:line="315" w:lineRule="atLeast"/>
        <w:jc w:val="right"/>
        <w:rPr>
          <w:rFonts w:ascii="Times New Roman" w:hAnsi="Times New Roman"/>
          <w:sz w:val="24"/>
          <w:szCs w:val="24"/>
        </w:rPr>
      </w:pPr>
      <w:r w:rsidRPr="00595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595323">
        <w:rPr>
          <w:rFonts w:ascii="Times New Roman" w:hAnsi="Times New Roman"/>
          <w:b/>
          <w:bCs/>
          <w:sz w:val="24"/>
          <w:szCs w:val="24"/>
        </w:rPr>
        <w:t xml:space="preserve"> УТВЕРЖДАЮ</w:t>
      </w:r>
    </w:p>
    <w:p w:rsidR="00C23280" w:rsidRPr="00595323" w:rsidRDefault="00C23280" w:rsidP="00C23280">
      <w:pPr>
        <w:pStyle w:val="Standard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И.о. заведующей</w:t>
      </w:r>
      <w:r w:rsidRPr="00595323">
        <w:rPr>
          <w:rFonts w:ascii="Times New Roman" w:hAnsi="Times New Roman"/>
          <w:b/>
          <w:bCs/>
          <w:sz w:val="24"/>
          <w:szCs w:val="24"/>
        </w:rPr>
        <w:t xml:space="preserve"> МБДОУ № 3 «Яблочко»</w:t>
      </w:r>
    </w:p>
    <w:p w:rsidR="00C23280" w:rsidRPr="00595323" w:rsidRDefault="00C23280" w:rsidP="00C2328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 w:rsidRPr="0059532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595323">
        <w:rPr>
          <w:rFonts w:ascii="Times New Roman" w:hAnsi="Times New Roman"/>
          <w:b/>
          <w:bCs/>
          <w:sz w:val="24"/>
          <w:szCs w:val="24"/>
        </w:rPr>
        <w:t xml:space="preserve">    ___________________/ К.К. Рогожникова                       </w:t>
      </w:r>
    </w:p>
    <w:p w:rsidR="00C23280" w:rsidRPr="00595323" w:rsidRDefault="00C23280" w:rsidP="00C23280">
      <w:pPr>
        <w:pStyle w:val="Standard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«31» августа</w:t>
      </w:r>
      <w:r w:rsidRPr="00595323">
        <w:rPr>
          <w:rFonts w:ascii="Times New Roman" w:hAnsi="Times New Roman"/>
          <w:b/>
          <w:bCs/>
          <w:sz w:val="24"/>
          <w:szCs w:val="24"/>
        </w:rPr>
        <w:t xml:space="preserve"> 2017 года</w:t>
      </w:r>
    </w:p>
    <w:p w:rsidR="00C23280" w:rsidRPr="00595323" w:rsidRDefault="00C23280" w:rsidP="00C2328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23">
        <w:rPr>
          <w:rFonts w:ascii="Times New Roman" w:hAnsi="Times New Roman" w:cs="Times New Roman"/>
          <w:sz w:val="24"/>
          <w:szCs w:val="24"/>
        </w:rPr>
        <w:t xml:space="preserve">Учебный план непосредственно-образовательной деятельности для групп </w:t>
      </w:r>
      <w:proofErr w:type="spellStart"/>
      <w:r w:rsidRPr="0059532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95323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C23280" w:rsidRPr="00595323" w:rsidRDefault="00C23280" w:rsidP="00C2328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323">
        <w:rPr>
          <w:rFonts w:ascii="Times New Roman" w:hAnsi="Times New Roman"/>
          <w:sz w:val="24"/>
          <w:szCs w:val="24"/>
        </w:rPr>
        <w:t>Муниципального бюджетного дошкольного учреждения детского сада «Яблочко»</w:t>
      </w:r>
    </w:p>
    <w:p w:rsidR="00C23280" w:rsidRPr="00595323" w:rsidRDefault="00C23280" w:rsidP="00C2328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323">
        <w:rPr>
          <w:rFonts w:ascii="Times New Roman" w:hAnsi="Times New Roman"/>
          <w:sz w:val="24"/>
          <w:szCs w:val="24"/>
        </w:rPr>
        <w:t xml:space="preserve">Примерная общеобразовательная программа Н.Е. </w:t>
      </w:r>
      <w:proofErr w:type="spellStart"/>
      <w:r w:rsidRPr="0059532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95323">
        <w:rPr>
          <w:rFonts w:ascii="Times New Roman" w:hAnsi="Times New Roman"/>
          <w:sz w:val="24"/>
          <w:szCs w:val="24"/>
        </w:rPr>
        <w:t>, Т.С. Комаровой, М.А. Васильевой  «От рождения до школы»  2016г.</w:t>
      </w:r>
    </w:p>
    <w:p w:rsidR="00C23280" w:rsidRPr="00595323" w:rsidRDefault="00C23280" w:rsidP="00C2328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323">
        <w:rPr>
          <w:rFonts w:ascii="Times New Roman" w:hAnsi="Times New Roman"/>
          <w:sz w:val="24"/>
          <w:szCs w:val="24"/>
        </w:rPr>
        <w:t>на 2017-2018 учебный год</w:t>
      </w:r>
    </w:p>
    <w:p w:rsidR="00C23280" w:rsidRPr="00595323" w:rsidRDefault="00C23280" w:rsidP="00C2328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661" w:type="dxa"/>
        <w:tblLayout w:type="fixed"/>
        <w:tblLook w:val="04A0"/>
      </w:tblPr>
      <w:tblGrid>
        <w:gridCol w:w="2518"/>
        <w:gridCol w:w="992"/>
        <w:gridCol w:w="850"/>
        <w:gridCol w:w="911"/>
        <w:gridCol w:w="933"/>
        <w:gridCol w:w="795"/>
        <w:gridCol w:w="730"/>
        <w:gridCol w:w="1027"/>
        <w:gridCol w:w="790"/>
        <w:gridCol w:w="727"/>
        <w:gridCol w:w="1034"/>
        <w:gridCol w:w="792"/>
        <w:gridCol w:w="729"/>
        <w:gridCol w:w="1031"/>
        <w:gridCol w:w="952"/>
        <w:gridCol w:w="850"/>
      </w:tblGrid>
      <w:tr w:rsidR="00C23280" w:rsidRPr="00595323" w:rsidTr="00EE3559">
        <w:tc>
          <w:tcPr>
            <w:tcW w:w="2518" w:type="dxa"/>
            <w:vMerge w:val="restart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область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группа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раннего возраста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от 2 до 3 лет</w:t>
            </w:r>
          </w:p>
        </w:tc>
        <w:tc>
          <w:tcPr>
            <w:tcW w:w="2458" w:type="dxa"/>
            <w:gridSpan w:val="3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от 3 до 4 лет</w:t>
            </w:r>
          </w:p>
        </w:tc>
        <w:tc>
          <w:tcPr>
            <w:tcW w:w="2544" w:type="dxa"/>
            <w:gridSpan w:val="3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от 4 до 5 лет</w:t>
            </w:r>
          </w:p>
        </w:tc>
        <w:tc>
          <w:tcPr>
            <w:tcW w:w="2555" w:type="dxa"/>
            <w:gridSpan w:val="3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от 5 до 6 лет</w:t>
            </w:r>
          </w:p>
        </w:tc>
        <w:tc>
          <w:tcPr>
            <w:tcW w:w="2833" w:type="dxa"/>
            <w:gridSpan w:val="3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от 6 до 7 лет</w:t>
            </w:r>
          </w:p>
        </w:tc>
      </w:tr>
      <w:tr w:rsidR="00C23280" w:rsidRPr="00595323" w:rsidTr="00EE3559">
        <w:tc>
          <w:tcPr>
            <w:tcW w:w="2518" w:type="dxa"/>
            <w:vMerge/>
          </w:tcPr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23280" w:rsidRPr="00595323" w:rsidTr="00EE3559">
        <w:tc>
          <w:tcPr>
            <w:tcW w:w="15661" w:type="dxa"/>
            <w:gridSpan w:val="16"/>
            <w:vAlign w:val="center"/>
          </w:tcPr>
          <w:p w:rsidR="00C23280" w:rsidRPr="00595323" w:rsidRDefault="00C23280" w:rsidP="00EE3559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C23280" w:rsidRPr="00595323" w:rsidTr="00EE3559">
        <w:trPr>
          <w:trHeight w:val="1550"/>
        </w:trPr>
        <w:tc>
          <w:tcPr>
            <w:tcW w:w="2518" w:type="dxa"/>
            <w:vAlign w:val="center"/>
          </w:tcPr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3280" w:rsidRPr="00595323" w:rsidTr="00EE3559">
        <w:tc>
          <w:tcPr>
            <w:tcW w:w="2518" w:type="dxa"/>
            <w:vAlign w:val="center"/>
          </w:tcPr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в3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3280" w:rsidRPr="00595323" w:rsidTr="00EE3559">
        <w:tc>
          <w:tcPr>
            <w:tcW w:w="2518" w:type="dxa"/>
            <w:vAlign w:val="center"/>
          </w:tcPr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5323">
              <w:rPr>
                <w:rFonts w:ascii="Times New Roman" w:hAnsi="Times New Roman"/>
                <w:sz w:val="24"/>
                <w:szCs w:val="24"/>
              </w:rPr>
              <w:t>нед.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 раз в2нед.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 раз в2нед.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 раз в2нед.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 раз в2нед.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43185F" w:rsidRDefault="00C23280" w:rsidP="00EE355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3185F">
              <w:rPr>
                <w:rFonts w:ascii="Times New Roman" w:hAnsi="Times New Roman"/>
                <w:b/>
                <w:sz w:val="24"/>
                <w:szCs w:val="24"/>
              </w:rPr>
              <w:t>идактическая игра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280" w:rsidRDefault="00C23280" w:rsidP="00C232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280" w:rsidRDefault="00C23280" w:rsidP="00C2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3280" w:rsidRDefault="00C23280" w:rsidP="00C23280">
      <w:pPr>
        <w:rPr>
          <w:rFonts w:ascii="Times New Roman" w:hAnsi="Times New Roman" w:cs="Times New Roman"/>
          <w:b/>
          <w:sz w:val="24"/>
          <w:szCs w:val="24"/>
        </w:rPr>
      </w:pPr>
    </w:p>
    <w:p w:rsidR="00C23280" w:rsidRDefault="00C23280" w:rsidP="00C232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4786"/>
      </w:tblGrid>
      <w:tr w:rsidR="00C23280" w:rsidTr="00C23280">
        <w:tc>
          <w:tcPr>
            <w:tcW w:w="14786" w:type="dxa"/>
          </w:tcPr>
          <w:p w:rsidR="00C23280" w:rsidRDefault="00C23280" w:rsidP="00C2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C23280" w:rsidRPr="00C23280" w:rsidRDefault="00C23280" w:rsidP="00C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23280"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или самостоятельно-игровой деятельности</w:t>
            </w:r>
          </w:p>
        </w:tc>
      </w:tr>
    </w:tbl>
    <w:p w:rsidR="00C23280" w:rsidRPr="0043185F" w:rsidRDefault="00C23280" w:rsidP="00C232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661" w:type="dxa"/>
        <w:tblLayout w:type="fixed"/>
        <w:tblLook w:val="04A0"/>
      </w:tblPr>
      <w:tblGrid>
        <w:gridCol w:w="2518"/>
        <w:gridCol w:w="992"/>
        <w:gridCol w:w="850"/>
        <w:gridCol w:w="911"/>
        <w:gridCol w:w="933"/>
        <w:gridCol w:w="795"/>
        <w:gridCol w:w="730"/>
        <w:gridCol w:w="1027"/>
        <w:gridCol w:w="790"/>
        <w:gridCol w:w="727"/>
        <w:gridCol w:w="1034"/>
        <w:gridCol w:w="792"/>
        <w:gridCol w:w="729"/>
        <w:gridCol w:w="1031"/>
        <w:gridCol w:w="952"/>
        <w:gridCol w:w="850"/>
      </w:tblGrid>
      <w:tr w:rsidR="00C23280" w:rsidRPr="00595323" w:rsidTr="00EE3559">
        <w:tc>
          <w:tcPr>
            <w:tcW w:w="15661" w:type="dxa"/>
            <w:gridSpan w:val="16"/>
          </w:tcPr>
          <w:p w:rsidR="00C23280" w:rsidRPr="00595323" w:rsidRDefault="00C23280" w:rsidP="00EE3559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23280" w:rsidRPr="00595323" w:rsidTr="00EE3559">
        <w:tc>
          <w:tcPr>
            <w:tcW w:w="15661" w:type="dxa"/>
            <w:gridSpan w:val="16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</w:tr>
      <w:tr w:rsidR="00C23280" w:rsidRPr="00595323" w:rsidTr="00EE3559">
        <w:tc>
          <w:tcPr>
            <w:tcW w:w="15661" w:type="dxa"/>
            <w:gridSpan w:val="16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Осуществляется в образовательной деятельности, в ходе режимных моментов, в совместной и самостоятельно-игровой деятельности, в семье.</w:t>
            </w:r>
          </w:p>
        </w:tc>
      </w:tr>
      <w:tr w:rsidR="00C23280" w:rsidRPr="00595323" w:rsidTr="00EE3559">
        <w:tc>
          <w:tcPr>
            <w:tcW w:w="15661" w:type="dxa"/>
            <w:gridSpan w:val="16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23280" w:rsidRPr="00595323" w:rsidTr="00EE3559">
        <w:tc>
          <w:tcPr>
            <w:tcW w:w="15661" w:type="dxa"/>
            <w:gridSpan w:val="16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59532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95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3143" w:type="dxa"/>
            <w:gridSpan w:val="15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Осуществляется   в совместной или самостоятельно-игровой деятельности</w:t>
            </w:r>
          </w:p>
        </w:tc>
      </w:tr>
      <w:tr w:rsidR="00C23280" w:rsidRPr="00595323" w:rsidTr="00EE3559">
        <w:tc>
          <w:tcPr>
            <w:tcW w:w="2518" w:type="dxa"/>
          </w:tcPr>
          <w:p w:rsidR="00C23280" w:rsidRPr="00595323" w:rsidRDefault="00C23280" w:rsidP="00EE3559">
            <w:pPr>
              <w:pStyle w:val="TableContents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2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нагрузки</w:t>
            </w:r>
          </w:p>
        </w:tc>
        <w:tc>
          <w:tcPr>
            <w:tcW w:w="9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33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7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34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9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031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C23280" w:rsidRPr="00595323" w:rsidRDefault="00C23280" w:rsidP="00EE3559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23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</w:tbl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p w:rsidR="00380C56" w:rsidRDefault="00380C56"/>
    <w:sectPr w:rsidR="00380C56" w:rsidSect="00C232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E16"/>
    <w:multiLevelType w:val="multilevel"/>
    <w:tmpl w:val="DFD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26479"/>
    <w:multiLevelType w:val="multilevel"/>
    <w:tmpl w:val="DF62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1935"/>
    <w:multiLevelType w:val="multilevel"/>
    <w:tmpl w:val="569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6AD8"/>
    <w:multiLevelType w:val="multilevel"/>
    <w:tmpl w:val="7C9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204D5"/>
    <w:multiLevelType w:val="multilevel"/>
    <w:tmpl w:val="438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632B6"/>
    <w:multiLevelType w:val="multilevel"/>
    <w:tmpl w:val="54D86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353B8"/>
    <w:multiLevelType w:val="multilevel"/>
    <w:tmpl w:val="EED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E06DA"/>
    <w:multiLevelType w:val="multilevel"/>
    <w:tmpl w:val="2D5EE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71E35"/>
    <w:multiLevelType w:val="hybridMultilevel"/>
    <w:tmpl w:val="139EFBBC"/>
    <w:lvl w:ilvl="0" w:tplc="306C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96D"/>
    <w:rsid w:val="00081961"/>
    <w:rsid w:val="00161EFA"/>
    <w:rsid w:val="00184B65"/>
    <w:rsid w:val="00273447"/>
    <w:rsid w:val="00380C56"/>
    <w:rsid w:val="003E676F"/>
    <w:rsid w:val="00400F38"/>
    <w:rsid w:val="00404477"/>
    <w:rsid w:val="004B2A25"/>
    <w:rsid w:val="00551935"/>
    <w:rsid w:val="005D1A36"/>
    <w:rsid w:val="005F6E24"/>
    <w:rsid w:val="0064122B"/>
    <w:rsid w:val="006B1FE4"/>
    <w:rsid w:val="006F0E69"/>
    <w:rsid w:val="00733ED0"/>
    <w:rsid w:val="00746192"/>
    <w:rsid w:val="007B7DEC"/>
    <w:rsid w:val="008358C4"/>
    <w:rsid w:val="00874CE7"/>
    <w:rsid w:val="008F396D"/>
    <w:rsid w:val="00925577"/>
    <w:rsid w:val="00982A6D"/>
    <w:rsid w:val="009D4C4B"/>
    <w:rsid w:val="00AE198E"/>
    <w:rsid w:val="00AF0DC0"/>
    <w:rsid w:val="00AF76AC"/>
    <w:rsid w:val="00C2023D"/>
    <w:rsid w:val="00C23280"/>
    <w:rsid w:val="00C5385D"/>
    <w:rsid w:val="00D50D9A"/>
    <w:rsid w:val="00D80993"/>
    <w:rsid w:val="00E96BA8"/>
    <w:rsid w:val="00F561BA"/>
    <w:rsid w:val="00F9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93"/>
  </w:style>
  <w:style w:type="paragraph" w:styleId="1">
    <w:name w:val="heading 1"/>
    <w:basedOn w:val="a"/>
    <w:link w:val="10"/>
    <w:uiPriority w:val="9"/>
    <w:qFormat/>
    <w:rsid w:val="008F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96D"/>
    <w:rPr>
      <w:b/>
      <w:bCs/>
    </w:rPr>
  </w:style>
  <w:style w:type="character" w:customStyle="1" w:styleId="apple-converted-space">
    <w:name w:val="apple-converted-space"/>
    <w:basedOn w:val="a0"/>
    <w:rsid w:val="008F396D"/>
  </w:style>
  <w:style w:type="character" w:styleId="a5">
    <w:name w:val="Hyperlink"/>
    <w:basedOn w:val="a0"/>
    <w:uiPriority w:val="99"/>
    <w:semiHidden/>
    <w:unhideWhenUsed/>
    <w:rsid w:val="008F39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0C56"/>
    <w:pPr>
      <w:ind w:left="720"/>
      <w:contextualSpacing/>
    </w:pPr>
  </w:style>
  <w:style w:type="paragraph" w:customStyle="1" w:styleId="Standard">
    <w:name w:val="Standard"/>
    <w:rsid w:val="00C232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C23280"/>
    <w:pPr>
      <w:suppressLineNumbers/>
    </w:pPr>
  </w:style>
  <w:style w:type="table" w:styleId="a7">
    <w:name w:val="Table Grid"/>
    <w:basedOn w:val="a1"/>
    <w:uiPriority w:val="59"/>
    <w:rsid w:val="00C2328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2017-10-10T09:58:00Z</cp:lastPrinted>
  <dcterms:created xsi:type="dcterms:W3CDTF">2017-08-21T18:39:00Z</dcterms:created>
  <dcterms:modified xsi:type="dcterms:W3CDTF">2017-10-10T10:03:00Z</dcterms:modified>
</cp:coreProperties>
</file>